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4363" w14:textId="3E2A1854" w:rsidR="00F15428" w:rsidRPr="00F15428" w:rsidRDefault="00384C3C" w:rsidP="00F15428">
      <w:pPr>
        <w:pStyle w:val="Heading1"/>
        <w:ind w:left="0"/>
        <w:rPr>
          <w:color w:val="auto"/>
        </w:rPr>
      </w:pPr>
      <w:r>
        <w:rPr>
          <w:color w:val="auto"/>
        </w:rPr>
        <w:t>Construction and Architectural Replica</w:t>
      </w:r>
    </w:p>
    <w:p w14:paraId="4D0804C8" w14:textId="77777777" w:rsidR="00F15428" w:rsidRPr="00F15428" w:rsidRDefault="00F15428" w:rsidP="00F15428">
      <w:pPr>
        <w:ind w:left="0"/>
      </w:pPr>
      <w:r w:rsidRPr="00F15428">
        <w:rPr>
          <w:rStyle w:val="Heading2Char"/>
          <w:b w:val="0"/>
          <w:bCs/>
        </w:rPr>
        <w:t>Description:</w:t>
      </w:r>
      <w:r w:rsidRPr="00F15428">
        <w:t xml:space="preserve"> </w:t>
      </w:r>
    </w:p>
    <w:p w14:paraId="47AC4200"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C427F0">
        <w:rPr>
          <w:rFonts w:cstheme="minorHAnsi"/>
          <w:sz w:val="22"/>
          <w:szCs w:val="22"/>
        </w:rPr>
        <w:t>when designing replicas</w:t>
      </w:r>
      <w:r w:rsidR="00F25344">
        <w:rPr>
          <w:rFonts w:cstheme="minorHAnsi"/>
          <w:sz w:val="22"/>
          <w:szCs w:val="22"/>
        </w:rPr>
        <w:t>.</w:t>
      </w:r>
    </w:p>
    <w:p w14:paraId="366CCF92" w14:textId="77777777" w:rsidR="00F15428" w:rsidRPr="00F15428" w:rsidRDefault="00F15428" w:rsidP="00F15428">
      <w:pPr>
        <w:ind w:left="0"/>
        <w:rPr>
          <w:rStyle w:val="Heading2Char"/>
          <w:b w:val="0"/>
          <w:bCs/>
        </w:rPr>
      </w:pPr>
      <w:r w:rsidRPr="00F15428">
        <w:rPr>
          <w:rStyle w:val="Heading2Char"/>
          <w:b w:val="0"/>
          <w:bCs/>
        </w:rPr>
        <w:t>State Fair Entries:</w:t>
      </w:r>
    </w:p>
    <w:p w14:paraId="0763D827"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entr</w:t>
      </w:r>
      <w:r w:rsidR="00C427F0">
        <w:rPr>
          <w:rStyle w:val="Heading2Char"/>
          <w:rFonts w:eastAsiaTheme="minorEastAsia" w:cstheme="minorBidi"/>
          <w:b w:val="0"/>
          <w:sz w:val="22"/>
          <w:szCs w:val="22"/>
        </w:rPr>
        <w:t>y</w:t>
      </w:r>
      <w:r>
        <w:rPr>
          <w:rStyle w:val="Heading2Char"/>
          <w:rFonts w:eastAsiaTheme="minorEastAsia" w:cstheme="minorBidi"/>
          <w:b w:val="0"/>
          <w:sz w:val="22"/>
          <w:szCs w:val="22"/>
        </w:rPr>
        <w:t xml:space="preserve"> per county as</w:t>
      </w:r>
      <w:r w:rsidR="00F25344">
        <w:rPr>
          <w:rStyle w:val="Heading2Char"/>
          <w:rFonts w:eastAsiaTheme="minorEastAsia" w:cstheme="minorBidi"/>
          <w:b w:val="0"/>
          <w:sz w:val="22"/>
          <w:szCs w:val="22"/>
        </w:rPr>
        <w:t xml:space="preserve"> determined by the county 4-H educator and fair officials.</w:t>
      </w:r>
    </w:p>
    <w:p w14:paraId="1C6807EB" w14:textId="77777777" w:rsidR="00F15428" w:rsidRPr="00F15428" w:rsidRDefault="00F15428" w:rsidP="00F15428">
      <w:pPr>
        <w:ind w:left="0"/>
        <w:rPr>
          <w:rStyle w:val="Heading2Char"/>
        </w:rPr>
      </w:pPr>
      <w:r w:rsidRPr="00F15428">
        <w:rPr>
          <w:rStyle w:val="Heading2Char"/>
          <w:b w:val="0"/>
          <w:bCs/>
        </w:rPr>
        <w:t>Exhibit Guidelines:</w:t>
      </w:r>
    </w:p>
    <w:p w14:paraId="5E047B3D" w14:textId="77777777" w:rsidR="00C427F0" w:rsidRDefault="00C427F0" w:rsidP="00F15428">
      <w:pPr>
        <w:ind w:left="0" w:firstLine="720"/>
        <w:rPr>
          <w:rFonts w:eastAsiaTheme="minorEastAsia" w:cstheme="minorBidi"/>
          <w:sz w:val="22"/>
          <w:szCs w:val="22"/>
        </w:rPr>
      </w:pPr>
      <w:r>
        <w:rPr>
          <w:sz w:val="22"/>
          <w:szCs w:val="22"/>
        </w:rPr>
        <w:t>Exhibits can include farm scenes, town models, building replicas, or similar items and can be constructed from building blocks (Lego), erector sets, or other materials. The product should be constructed to scale as much as possible. Consider adding a clear cover to protect the exhibit while being displayed to the public. This exhibit will most likely be displayed on an 8’ long table top with two or three exhibits per table.</w:t>
      </w:r>
    </w:p>
    <w:p w14:paraId="6CF8CE31"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200B1162"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0329F5">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63A69F83" w14:textId="77777777" w:rsidR="00F25344" w:rsidRPr="00F25344" w:rsidRDefault="00C427F0" w:rsidP="00F15428">
      <w:pPr>
        <w:ind w:left="0" w:firstLine="720"/>
        <w:rPr>
          <w:rFonts w:eastAsiaTheme="minorEastAsia"/>
          <w:sz w:val="22"/>
          <w:szCs w:val="22"/>
        </w:rPr>
      </w:pPr>
      <w:r>
        <w:rPr>
          <w:rStyle w:val="markedcontent"/>
          <w:rFonts w:cs="Arial"/>
          <w:sz w:val="22"/>
          <w:szCs w:val="22"/>
        </w:rPr>
        <w:t>If an exhibitor is concerned about their creation being damaged while on display, they should consider constructing a clear plastic cover to encase the exhibit.</w:t>
      </w:r>
    </w:p>
    <w:p w14:paraId="0A42464D"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2B8FA60E" w14:textId="77777777" w:rsidR="00F15428" w:rsidRPr="00F15428" w:rsidRDefault="00F15428" w:rsidP="00F15428">
      <w:pPr>
        <w:ind w:left="0" w:firstLine="720"/>
        <w:rPr>
          <w:rFonts w:eastAsia="Calibri" w:cs="Calibri"/>
          <w:sz w:val="22"/>
          <w:szCs w:val="22"/>
        </w:rPr>
      </w:pPr>
    </w:p>
    <w:p w14:paraId="40E235C3" w14:textId="77777777" w:rsidR="00F15428" w:rsidRDefault="00F15428" w:rsidP="00F15428">
      <w:pPr>
        <w:ind w:left="0"/>
        <w:rPr>
          <w:rStyle w:val="Heading2Char"/>
          <w:b w:val="0"/>
          <w:bCs/>
        </w:rPr>
      </w:pPr>
      <w:r w:rsidRPr="00F15428">
        <w:rPr>
          <w:rStyle w:val="Heading2Char"/>
          <w:b w:val="0"/>
          <w:bCs/>
        </w:rPr>
        <w:t>Exhibit Class Guidelines:</w:t>
      </w:r>
    </w:p>
    <w:p w14:paraId="4135490A" w14:textId="77777777" w:rsidR="00C427F0" w:rsidRPr="00F15428" w:rsidRDefault="00C427F0" w:rsidP="00C427F0">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343FDE40" w14:textId="77777777" w:rsidR="00C427F0" w:rsidRPr="0096597E" w:rsidRDefault="00C427F0" w:rsidP="00C427F0">
      <w:pPr>
        <w:ind w:left="0" w:firstLine="720"/>
        <w:rPr>
          <w:rFonts w:eastAsia="Calibri Light" w:cstheme="minorHAnsi"/>
          <w:sz w:val="22"/>
          <w:szCs w:val="22"/>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113DFA05" w14:textId="77777777" w:rsidR="00C427F0" w:rsidRDefault="00C427F0" w:rsidP="00C427F0">
      <w:pPr>
        <w:ind w:left="0"/>
        <w:rPr>
          <w:rStyle w:val="Heading2Char"/>
          <w:b w:val="0"/>
          <w:bCs/>
          <w:i/>
          <w:iCs/>
        </w:rPr>
      </w:pPr>
      <w:r>
        <w:rPr>
          <w:rStyle w:val="Heading2Char"/>
          <w:b w:val="0"/>
          <w:bCs/>
          <w:i/>
          <w:iCs/>
        </w:rPr>
        <w:t>Intermediate (grades 6-8 suggested)</w:t>
      </w:r>
    </w:p>
    <w:p w14:paraId="11AD5135" w14:textId="77777777" w:rsidR="00C427F0" w:rsidRDefault="00C427F0" w:rsidP="00C427F0">
      <w:pPr>
        <w:ind w:left="720"/>
        <w:rPr>
          <w:rStyle w:val="Heading2Char"/>
          <w:b w:val="0"/>
          <w:bCs/>
          <w:i/>
          <w:iCs/>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41112B5B" w14:textId="77777777" w:rsidR="00C427F0" w:rsidRDefault="00C427F0" w:rsidP="00C427F0">
      <w:pPr>
        <w:ind w:left="0"/>
        <w:rPr>
          <w:rStyle w:val="Heading2Char"/>
          <w:b w:val="0"/>
          <w:bCs/>
          <w:i/>
          <w:iCs/>
        </w:rPr>
      </w:pPr>
      <w:r>
        <w:rPr>
          <w:rStyle w:val="Heading2Char"/>
          <w:b w:val="0"/>
          <w:bCs/>
          <w:i/>
          <w:iCs/>
        </w:rPr>
        <w:t>Advanced (grades 9-12 suggested)</w:t>
      </w:r>
    </w:p>
    <w:p w14:paraId="4AB91860" w14:textId="77777777" w:rsidR="00C427F0" w:rsidRPr="00F15428" w:rsidRDefault="00C427F0" w:rsidP="000E7E05">
      <w:pPr>
        <w:ind w:left="0" w:firstLine="720"/>
        <w:rPr>
          <w:rStyle w:val="Heading2Char"/>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sectPr w:rsidR="00C427F0" w:rsidRPr="00F15428"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6856" w14:textId="77777777" w:rsidR="00682755" w:rsidRDefault="00682755" w:rsidP="00541FF7">
      <w:r>
        <w:separator/>
      </w:r>
    </w:p>
  </w:endnote>
  <w:endnote w:type="continuationSeparator" w:id="0">
    <w:p w14:paraId="1BDAB1E4" w14:textId="77777777" w:rsidR="00682755" w:rsidRDefault="00682755"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F9A3"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4845"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3DE252D6"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EC0712">
      <w:t>1</w:t>
    </w:r>
  </w:p>
  <w:p w14:paraId="2E90B86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010021E4"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D20D7B4"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FE4E" w14:textId="77777777" w:rsidR="00682755" w:rsidRDefault="00682755" w:rsidP="00541FF7">
      <w:r>
        <w:separator/>
      </w:r>
    </w:p>
  </w:footnote>
  <w:footnote w:type="continuationSeparator" w:id="0">
    <w:p w14:paraId="1525BD91" w14:textId="77777777" w:rsidR="00682755" w:rsidRDefault="00682755"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DFAE" w14:textId="77777777" w:rsidR="00022312" w:rsidRDefault="00803CFE" w:rsidP="00541FF7">
    <w:pPr>
      <w:pStyle w:val="Header"/>
    </w:pPr>
    <w:r>
      <w:rPr>
        <w:noProof/>
      </w:rPr>
      <w:drawing>
        <wp:inline distT="0" distB="0" distL="0" distR="0" wp14:anchorId="3FDC168D" wp14:editId="7959ECB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29F5"/>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E7E05"/>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4C3C"/>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3708"/>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2755"/>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3DF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7F0"/>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C0712"/>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2893"/>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E7AA8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3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FB9E1B9-803C-4EC8-9C5F-D8F1BD1D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1</Pages>
  <Words>281</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1950</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2023-01-25T16:36:00Z</cp:lastPrinted>
  <dcterms:created xsi:type="dcterms:W3CDTF">2023-01-23T20:48:00Z</dcterms:created>
  <dcterms:modified xsi:type="dcterms:W3CDTF">2023-01-25T16:36:00Z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